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png" ContentType="image/png"/>
  <Override PartName="/word/settings.xml" ContentType="application/vnd.openxmlformats-officedocument.wordprocessingml.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webSettings.xml" ContentType="application/vnd.openxmlformats-officedocument.wordprocessingml.webSettings+xml"/>
</Types>
</file>

<file path=_rels/.rels>&#65279;<?xml version="1.0" encoding="UTF-8" standalone="yes"?>
<Relationships xmlns="http://schemas.openxmlformats.org/package/2006/relationships">
	<Relationship Id="rId1" Type="http://schemas.openxmlformats.org/officeDocument/2006/relationships/officeDocument" Target="word/document.xml"/>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ve="http://schemas.openxmlformats.org/markup-compatibility/2006" xmlns:w="http://schemas.openxmlformats.org/wordprocessingml/2006/main" xmlns:w10="urn:schemas-microsoft-com:office:word" xmlns:wne="http://schemas.microsoft.com/office/word/2006/wordml">
  <w:body>
    <w:tbl>
      <w:tblPr>
        <w:tblStyle w:val="TableStyle0"/>
        <w:tblW w:w="0" w:type="auto"/>
        <w:tblLayout w:type="fixed"/>
        <w:tblLook w:val="04A0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Техническое задание по Лоту №1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По открытому запросу предложений  № 155 979</w:t>
            </w:r>
          </w:p>
        </w:tc>
      </w:tr>
      <w:tr>
        <w:trPr>
          <w:trHeight w:val="375" w:hRule="atLeast"/>
        </w:trPr>
        <w:tc>
          <w:tcPr>
            <w:tcW w:w="14450" w:type="dxa"/>
            <w:gridSpan w:val="50"/>
            <w:shd w:val="clear" w:color="FFFFFF" w:fill="auto"/>
            <w:textDirection w:val="lrTb"/>
            <w:vAlign w:val="bottom"/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Для нужд: 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top"/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300" w:hRule="atLeast"/>
        </w:trPr>
        <w:tc>
          <w:tcPr>
            <w:tcW w:w="578" w:type="dxa"/>
            <w:vMerge w:val="restart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restart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ОКДП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ОКВЭД</w:t>
            </w:r>
          </w:p>
        </w:tc>
      </w:tr>
      <w:tr>
        <w:trPr>
          <w:trHeight w:val="300" w:hRule="atLeast"/>
        </w:trPr>
        <w:tc>
          <w:tcPr>
            <w:tcW w:w="578" w:type="dxa"/>
            <w:vMerge w:val="continue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1.</w:t>
            </w:r>
          </w:p>
        </w:tc>
        <w:tc>
          <w:tcPr>
            <w:tcW w:w="8381" w:type="dxa"/>
            <w:vMerge w:val="continue"/>
            <w:gridSpan w:val="2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Предмет закупки.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№</w:t>
              <w:br/>
              <w:t>
п/п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Наименование предмета закупки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Ед.</w:t>
              <w:br/>
              <w:t>
изм.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Колич</w:t>
              <w:br/>
              <w:t>
ество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Допустимость аналога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Грузополучатель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Место (адрес) поставки товара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АВВГ 3х4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АВВГ 4х10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АВВГ 4х4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1 750,000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ВБбШв 3х2,5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1х16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950,000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1х4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17 010,000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Напряжение 0,66кВ.</w:t>
              <w:br/>
              <w:t>
ГОСТ 31996-2012</w:t>
              <w:br/>
              <w:t>
Поставляется в бухтах.</w:t>
              <w:br/>
              <w:t>
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3х2,5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260,000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4х2,5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 4х6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70,000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ВВГнг 3х1,5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259,000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ВВГнг 3х2,5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600,000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ВВГнг 4х4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31996-2012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КГ 3х1,5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24334-80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14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Кабель силовой КОГ1 1х25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510,000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2880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Предназначен для соединения при дуговой сварке электрододержателей, автоматических или полуавтоматических сварочных установок с источником на номинальное переменное напряжение до 220 В номинальной частоты 50 Гц или постоянное напряжение 700 В.</w:t>
              <w:br/>
              <w:t>
Вес кабеля - 0,33 кг/метр</w:t>
              <w:br/>
              <w:t>
Наружный диаметр кабеля - 11,9 мм</w:t>
              <w:br/>
              <w:t>
Жила кабеля - медная, многопроволочная, круглой формы, класса 6.</w:t>
              <w:br/>
              <w:t>
Разделительный слой  - поверх токопроводящей жилы наложена пленка полиэтилентерефталатная.</w:t>
              <w:br/>
              <w:t>
Изоляция и оболочка кабеля - последовательно наложены изоляция из изоляционной резины и оболочка из шланговой резины или в виде изоляционно-защитной оболочки.</w:t>
              <w:br/>
              <w:t>
Цвет оболочки - чёрный.</w:t>
              <w:br/>
              <w:t>
ГОСТ 16442-80.</w:t>
              <w:br/>
              <w:t>
Климатическое исполнение -  У, категория размещения - 1, 2, 3, 5 по ГОСТ 15150-69.</w:t>
              <w:br/>
              <w:t>
Температура эксплуатации кабеля - от -45°С до +40°С.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15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заземления ПЩ-10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30,000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26437-85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16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ПВС 3х1,5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180,000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7399-97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17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ПВС 3х2,5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25,000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7399-97</w:t>
              <w:br/>
              <w:t>
</w:t>
            </w:r>
          </w:p>
        </w:tc>
      </w:tr>
      <w:tr>
        <w:trPr>
          <w:trHeight w:val="735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5202" w:type="dxa"/>
            <w:gridSpan w:val="18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Провод самонесущий изолированный СИП-2А 2х16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Метр</w:t>
            </w:r>
          </w:p>
        </w:tc>
        <w:tc>
          <w:tcPr>
            <w:tcW w:w="1156" w:type="dxa"/>
            <w:gridSpan w:val="4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0"/>
                <w:szCs w:val="20"/>
              </w:rPr>
              <w:t>100,000</w:t>
            </w:r>
          </w:p>
        </w:tc>
        <w:tc>
          <w:tcPr>
            <w:tcW w:w="867" w:type="dxa"/>
            <w:gridSpan w:val="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Нет</w:t>
            </w:r>
          </w:p>
        </w:tc>
        <w:tc>
          <w:tcPr>
            <w:tcW w:w="2890" w:type="dxa"/>
            <w:gridSpan w:val="10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АО "Газпром газораспределение Белгород"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0"/>
                <w:szCs w:val="20"/>
              </w:rPr>
              <w:t>308017, г. Белгород, ул. Разуменская, 1 (Территория  базы ГНС)</w:t>
            </w:r>
          </w:p>
        </w:tc>
      </w:tr>
      <w:tr>
        <w:trPr>
          <w:trHeight w:val="975" w:hRule="atLeast"/>
        </w:trPr>
        <w:tc>
          <w:tcPr>
            <w:tcW w:w="1445" w:type="dxa"/>
            <w:gridSpan w:val="5"/>
            <w:shd w:val="clear" w:color="FFFFFF" w:fill="auto"/>
            <w:textDirection w:val="lrTb"/>
            <w:vAlign w:val="top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0"/>
                <w:szCs w:val="20"/>
              </w:rP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</w:tcPr>
          <w:p>
            <w:pPr>
              <w:ind w:left="20"/>
              <w:wordWrap w:val="1"/>
              <w:jc w:val="left"/>
            </w:pPr>
            <w:r>
              <w:rPr>
                <w:rFonts w:ascii="Times New Roman" w:hAnsi="Times New Roman"/>
                <w:sz w:val="18"/>
                <w:szCs w:val="18"/>
              </w:rPr>
              <w:t>ГОСТ 31946-2012</w:t>
              <w:br/>
              <w:t>
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2.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поставки товаров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Грузополучатель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АО "Газпром газораспределение Белгород"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Место (адрес)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308017, г. Белгород, ул. Разуменская, 1 (Территория  базы ГНС)</w:t>
            </w:r>
          </w:p>
        </w:tc>
      </w:tr>
      <w:tr>
        <w:trPr>
          <w:trHeight w:val="300" w:hRule="atLeast"/>
        </w:trPr>
        <w:tc>
          <w:tcPr>
            <w:tcW w:w="4335" w:type="dxa"/>
            <w:gridSpan w:val="15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sz w:val="22"/>
                <w:szCs w:val="22"/>
              </w:rPr>
              <w:t>Срок (период) поставки товаров</w:t>
            </w:r>
          </w:p>
        </w:tc>
        <w:tc>
          <w:tcPr>
            <w:tcW w:w="10115" w:type="dxa"/>
            <w:gridSpan w:val="35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От 30 до 60 календарных дней с даты заключения договора</w:t>
            </w:r>
          </w:p>
        </w:tc>
      </w:tr>
      <w:tr>
        <w:trPr>
          <w:trHeight w:val="300" w:hRule="atLeast"/>
        </w:trPr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/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W w:w="289" w:type="dxa"/>
            <w:shd w:val="clear" w:color="FFFFFF" w:fill="auto"/>
            <w:textDirection w:val="lrTb"/>
            <w:vAlign w:val="bottom"/>
          </w:tcPr>
          <w:p>
            <w:pPr/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rPr>
          <w:trHeight w:val="300" w:hRule="atLeast"/>
        </w:trPr>
        <w:tc>
          <w:tcPr>
            <w:tcW w:w="578" w:type="dxa"/>
            <w:gridSpan w:val="2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3.</w:t>
            </w:r>
          </w:p>
        </w:tc>
        <w:tc>
          <w:tcPr>
            <w:tcW w:w="13872" w:type="dxa"/>
            <w:gridSpan w:val="48"/>
            <w:shd w:val="clear" w:color="FFFFFF" w:fill="auto"/>
            <w:textDirection w:val="lrTb"/>
            <w:vAlign w:val="bottom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jc w:val="lef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Условия проведения закупочной процедуры.</w:t>
            </w:r>
          </w:p>
        </w:tc>
      </w:tr>
      <w:tr>
        <w:trPr>
          <w:trHeight w:val="84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783 429,99</w:t>
            </w:r>
          </w:p>
        </w:tc>
        <w:tc>
          <w:tcPr>
            <w:tcW w:w="2312" w:type="dxa"/>
            <w:vMerge w:val="restart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restart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30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В том числе НДС,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119 506,27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1380" w:hRule="atLeast"/>
        </w:trPr>
        <w:tc>
          <w:tcPr>
            <w:tcW w:w="4624" w:type="dxa"/>
            <w:gridSpan w:val="16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 НДС (без  НДС), рублей</w:t>
            </w:r>
          </w:p>
        </w:tc>
        <w:tc>
          <w:tcPr>
            <w:tcW w:w="2601" w:type="dxa"/>
            <w:gridSpan w:val="9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663 923,72</w:t>
            </w:r>
          </w:p>
        </w:tc>
        <w:tc>
          <w:tcPr>
            <w:tcW w:w="2312" w:type="dxa"/>
            <w:vMerge w:val="continue"/>
            <w:gridSpan w:val="8"/>
            <w:shd w:val="clear" w:color="FFFFFF" w:fill="auto"/>
            <w:textDirection w:val="lrTb"/>
            <w:vAlign w:val="center"/>
            <w:tcBorders>
              <w:top w:val="single" w:sz="5" w:space="0" w:color="auto"/>
            </w:tcBorders>
          </w:tcPr>
          <w:p>
            <w:pPr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Способ закупки</w:t>
            </w:r>
          </w:p>
        </w:tc>
        <w:tc>
          <w:tcPr>
            <w:tcW w:w="4913" w:type="dxa"/>
            <w:vMerge w:val="continue"/>
            <w:gridSpan w:val="1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</w:tcBorders>
          </w:tcPr>
          <w:p>
            <w:pPr>
              <w:wordWrap w:val="1"/>
              <w:jc w:val="center"/>
            </w:pPr>
            <w:r>
              <w:rPr>
                <w:rFonts w:ascii="Times New Roman" w:hAnsi="Times New Roman"/>
                <w:sz w:val="22"/>
                <w:szCs w:val="22"/>
              </w:rPr>
              <w:t>Открытый запрос предложений</w:t>
            </w:r>
          </w:p>
        </w:tc>
      </w:tr>
      <w:tr>
        <w:trPr>
          <w:trHeight w:val="840" w:hRule="atLeast"/>
        </w:trPr>
        <w:tc>
          <w:tcPr>
            <w:tcW w:w="6647" w:type="dxa"/>
            <w:gridSpan w:val="23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right"/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Обязательное требование к условиям оплаты товара </w:t>
            </w:r>
          </w:p>
        </w:tc>
        <w:tc>
          <w:tcPr>
            <w:tcW w:w="7803" w:type="dxa"/>
            <w:gridSpan w:val="27"/>
            <w:shd w:val="clear" w:color="FFFFFF" w:fill="auto"/>
            <w:textDirection w:val="lrTb"/>
            <w:vAlign w:val="center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</w:tcPr>
          <w:p>
            <w:pPr>
              <w:wordWrap w:val="1"/>
              <w:jc w:val="left"/>
            </w:pPr>
            <w:r>
              <w:rPr>
                <w:rFonts w:ascii="Times New Roman" w:hAnsi="Times New Roman"/>
                <w:sz w:val="22"/>
                <w:szCs w:val="22"/>
              </w:rPr>
              <w:t>Оплата за поставленный Товар в размере 100% осуществляется Покупателем в течение 30(тридцати) календарных дней с даты подписания уполномоченными представителями сторон товарной накладной ТОРГ-12, акт приема-передачи.</w:t>
            </w:r>
          </w:p>
        </w:tc>
      </w:tr>
    </w:tbl>
    <w:sectPr>
      <w:pgSz w:w="16839" w:h="11907" w:orient="landscape"/>
      <w:pgMar w:top="567" w:right="567" w:bottom="567" w:left="567"/>
    </w:sectPr>
  </w:body>
</w:document>
</file>

<file path=word/settings.xml><?xml version="1.0" encoding="utf-8"?>
<w:settings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view w:val="web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style w:type="table" w:styleId="TableStyle0">
    <w:name w:val="TableStyle0"/>
    <w:pPr>
      <w:spacing w:after="0" w:line="240" w:lineRule="auto"/>
    </w:pPr>
    <w:rPr>
      <w:rFonts w:ascii="Arial" w:hAnsi="Arial"/>
      <w:sz w:val="16"/>
    </w:rPr>
  </w:style>
</w:styles>
</file>

<file path=word/_rels/document.xml.rels>&#65279;<?xml version="1.0" encoding="UTF-8" standalone="yes"?>
<Relationships xmlns="http://schemas.openxmlformats.org/package/2006/relationships">
	<Relationship Id="rId1" Type="http://schemas.openxmlformats.org/officeDocument/2006/relationships/styles" Target="styles.xml"/>
	<Relationship Id="rId2" Type="http://schemas.openxmlformats.org/officeDocument/2006/relationships/settings" Target="settings.xml"/>
	<Relationship Id="rId8" Type="http://schemas.openxmlformats.org/officeDocument/2006/relationships/header" Target="header1.xml"/>
	<Relationship Id="rId9" Type="http://schemas.openxmlformats.org/officeDocument/2006/relationships/footer" Target="footer1.xml"/>
	<Relationship Id="rId10" Type="http://schemas.openxmlformats.org/officeDocument/2006/relationships/header" Target="header2.xml"/>
	<Relationship Id="rId11" Type="http://schemas.openxmlformats.org/officeDocument/2006/relationships/footer" Target="footer2.xml"/>
</Relationships>
</file>